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1950402</wp:posOffset>
                      </wp:positionH>
                      <wp:positionV relativeFrom="paragraph">
                        <wp:posOffset>133033</wp:posOffset>
                      </wp:positionV>
                      <wp:extent cx="237490" cy="2286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1950402</wp:posOffset>
                      </wp:positionH>
                      <wp:positionV relativeFrom="paragraph">
                        <wp:posOffset>133033</wp:posOffset>
                      </wp:positionV>
                      <wp:extent cx="237490" cy="228600"/>
                      <wp:effectExtent b="0" l="0" r="0" t="0"/>
                      <wp:wrapNone/>
                      <wp:docPr id="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5258118</wp:posOffset>
                      </wp:positionH>
                      <wp:positionV relativeFrom="paragraph">
                        <wp:posOffset>125413</wp:posOffset>
                      </wp:positionV>
                      <wp:extent cx="237490" cy="2286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5258118</wp:posOffset>
                      </wp:positionH>
                      <wp:positionV relativeFrom="paragraph">
                        <wp:posOffset>125413</wp:posOffset>
                      </wp:positionV>
                      <wp:extent cx="237490" cy="228600"/>
                      <wp:effectExtent b="0" l="0" r="0" t="0"/>
                      <wp:wrapNone/>
                      <wp:docPr id="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5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4162.010.26.1.0501-2026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JAIME ALEXANDER VARELA AGUDELO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14.895.154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119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eventos deportivos, recreativos, de ctividad física y de empoderamiento femenino, locales, nacionales e internacionales en Santiago de Cali BP - 26005304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67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14/Ene/2026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30/jun/2026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PRIMERO: PRORROGAR el Contrato de 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GESTIÓN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4162.010.26.1.0501-2026, suscrito con el señor JAIME ALEXANDER VARELA AGUDELO hasta el día 30 de junio de 2026. SEGUNDO: ADICIONAR el Contrato de 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4162.010.26.1.0501-2026 en la suma de CINCO MILLONES QUINIENTOS OCHENTA Y CUATRO MIL PESOS M/CTE ($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5.584.000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). TERCERO: El valor del contrato incluida la adición es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DIECISÉIS MILLONES SETECIENTOS CINCUENTA Y DOS MIL PESOS M/CTE ($16.752.000).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Distrito de Santiago de Cali pagará el valor de la adición en DOS (2) cuotas, por valor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SETECIENTOS NOVENTA Y DOS MIL PESOS M/CTE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($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2.792.000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)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ONCE MILLONES CIENTO SESENTA Y OCHO MIL PESOS M/CTE ($11.168.000)</w:t>
            </w:r>
          </w:p>
        </w:tc>
      </w:tr>
      <w:tr>
        <w:trPr>
          <w:cantSplit w:val="0"/>
          <w:trHeight w:val="6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Por la suma de CINCO MILLONES QUINIENTOS OCHENTA Y CUATRO MIL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PESOS M/CTE ($5.584.000)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Hasta el 30 de Junio de 2026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widowControl w:val="1"/>
                    <w:pBdr>
                      <w:top w:color="000000" w:space="0" w:sz="0" w:val="none"/>
                      <w:left w:color="000000" w:space="0" w:sz="0" w:val="none"/>
                      <w:bottom w:color="000000" w:space="0" w:sz="0" w:val="none"/>
                      <w:right w:color="000000" w:space="0" w:sz="0" w:val="none"/>
                      <w:between w:color="000000" w:space="0" w:sz="0" w:val="none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widowControl w:val="1"/>
                    <w:pBdr>
                      <w:top w:color="000000" w:space="0" w:sz="0" w:val="none"/>
                      <w:left w:color="000000" w:space="0" w:sz="0" w:val="none"/>
                      <w:bottom w:color="000000" w:space="0" w:sz="0" w:val="none"/>
                      <w:right w:color="000000" w:space="0" w:sz="0" w:val="none"/>
                      <w:between w:color="000000" w:space="0" w:sz="0" w:val="none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color="000000" w:space="0" w:sz="0" w:val="none"/>
                      <w:left w:color="000000" w:space="0" w:sz="0" w:val="none"/>
                      <w:bottom w:color="000000" w:space="0" w:sz="0" w:val="none"/>
                      <w:right w:color="000000" w:space="0" w:sz="0" w:val="none"/>
                      <w:between w:color="000000" w:space="0" w:sz="0" w:val="none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color="000000" w:space="0" w:sz="0" w:val="none"/>
                      <w:left w:color="000000" w:space="0" w:sz="0" w:val="none"/>
                      <w:bottom w:color="000000" w:space="0" w:sz="0" w:val="none"/>
                      <w:right w:color="000000" w:space="0" w:sz="0" w:val="none"/>
                      <w:between w:color="000000" w:space="0" w:sz="0" w:val="none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color="000000" w:space="0" w:sz="0" w:val="none"/>
                      <w:left w:color="000000" w:space="0" w:sz="0" w:val="none"/>
                      <w:bottom w:color="000000" w:space="0" w:sz="0" w:val="none"/>
                      <w:right w:color="000000" w:space="0" w:sz="0" w:val="none"/>
                      <w:between w:color="000000" w:space="0" w:sz="0" w:val="none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color="000000" w:space="0" w:sz="0" w:val="none"/>
                      <w:left w:color="000000" w:space="0" w:sz="0" w:val="none"/>
                      <w:bottom w:color="000000" w:space="0" w:sz="0" w:val="none"/>
                      <w:right w:color="000000" w:space="0" w:sz="0" w:val="none"/>
                      <w:between w:color="000000" w:space="0" w:sz="0" w:val="none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color="000000" w:space="0" w:sz="0" w:val="none"/>
                      <w:left w:color="000000" w:space="0" w:sz="0" w:val="none"/>
                      <w:bottom w:color="000000" w:space="0" w:sz="0" w:val="none"/>
                      <w:right w:color="000000" w:space="0" w:sz="0" w:val="none"/>
                      <w:between w:color="000000" w:space="0" w:sz="0" w:val="none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color="000000" w:space="0" w:sz="0" w:val="none"/>
                      <w:left w:color="000000" w:space="0" w:sz="0" w:val="none"/>
                      <w:bottom w:color="000000" w:space="0" w:sz="0" w:val="none"/>
                      <w:right w:color="000000" w:space="0" w:sz="0" w:val="none"/>
                      <w:between w:color="000000" w:space="0" w:sz="0" w:val="none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color="000000" w:space="0" w:sz="0" w:val="none"/>
                      <w:left w:color="000000" w:space="0" w:sz="0" w:val="none"/>
                      <w:bottom w:color="000000" w:space="0" w:sz="0" w:val="none"/>
                      <w:right w:color="000000" w:space="0" w:sz="0" w:val="none"/>
                      <w:between w:color="000000" w:space="0" w:sz="0" w:val="none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color="000000" w:space="0" w:sz="0" w:val="none"/>
                      <w:left w:color="000000" w:space="0" w:sz="0" w:val="none"/>
                      <w:bottom w:color="000000" w:space="0" w:sz="0" w:val="none"/>
                      <w:right w:color="000000" w:space="0" w:sz="0" w:val="none"/>
                      <w:between w:color="000000" w:space="0" w:sz="0" w:val="none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color="000000" w:space="0" w:sz="0" w:val="none"/>
                      <w:left w:color="000000" w:space="0" w:sz="0" w:val="none"/>
                      <w:bottom w:color="000000" w:space="0" w:sz="0" w:val="none"/>
                      <w:right w:color="000000" w:space="0" w:sz="0" w:val="none"/>
                      <w:between w:color="000000" w:space="0" w:sz="0" w:val="none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widowControl w:val="1"/>
                    <w:pBdr>
                      <w:top w:color="000000" w:space="0" w:sz="0" w:val="none"/>
                      <w:left w:color="000000" w:space="0" w:sz="0" w:val="none"/>
                      <w:bottom w:color="000000" w:space="0" w:sz="0" w:val="none"/>
                      <w:right w:color="000000" w:space="0" w:sz="0" w:val="none"/>
                      <w:between w:color="000000" w:space="0" w:sz="0" w:val="none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widowControl w:val="1"/>
                    <w:pBdr>
                      <w:top w:color="000000" w:space="0" w:sz="0" w:val="none"/>
                      <w:left w:color="000000" w:space="0" w:sz="0" w:val="none"/>
                      <w:bottom w:color="000000" w:space="0" w:sz="0" w:val="none"/>
                      <w:right w:color="000000" w:space="0" w:sz="0" w:val="none"/>
                      <w:between w:color="000000" w:space="0" w:sz="0" w:val="none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color="000000" w:space="0" w:sz="0" w:val="none"/>
                      <w:left w:color="000000" w:space="0" w:sz="0" w:val="none"/>
                      <w:bottom w:color="000000" w:space="0" w:sz="0" w:val="none"/>
                      <w:right w:color="000000" w:space="0" w:sz="0" w:val="none"/>
                      <w:between w:color="000000" w:space="0" w:sz="0" w:val="none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color="000000" w:space="0" w:sz="0" w:val="none"/>
                      <w:left w:color="000000" w:space="0" w:sz="0" w:val="none"/>
                      <w:bottom w:color="000000" w:space="0" w:sz="0" w:val="none"/>
                      <w:right w:color="000000" w:space="0" w:sz="0" w:val="none"/>
                      <w:between w:color="000000" w:space="0" w:sz="0" w:val="none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color="000000" w:space="0" w:sz="0" w:val="none"/>
                      <w:left w:color="000000" w:space="0" w:sz="0" w:val="none"/>
                      <w:bottom w:color="000000" w:space="0" w:sz="0" w:val="none"/>
                      <w:right w:color="000000" w:space="0" w:sz="0" w:val="none"/>
                      <w:between w:color="000000" w:space="0" w:sz="0" w:val="none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16.752.000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2.792.000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$11.168.000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$2.792..000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1081253115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8822716537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Pago:15/may/2026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Abril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contratista seguridad social de Abril 2026 para el pago de esta cuenta según el decreto 1273 de 23/07/2018 que permite afectar la cancelación mes vencido de la seguridad social. Se compromete a pagar la seguridad social del mes correspondiente. El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contratista paga la seguridad social con mora.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4162.010.26.1.0501-2026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Apoyar la realización de acciones para formación deportiva en el sistema educativo a través de la recepción, radicación, verificación y seguimiento de los documentos e informes del área de Fomento y de los contratistas, asegurando el control físico y digital de la información y su registro en medios institucionales y de gestión como el Sistema de Gestión de Contratistas, SECOP y Drive.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42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la ejecución de actividades administrativas relacionadas con la recepción, validación, seguimiento y radicación de las cuentas de cobro correspondientes al período reportado de los contratistas asignados. Asimismo, realizó el control y actualización de la información en el Drive institucional, fortaleciendo el manejo físico y digital de los documentos y garantizando la trazabilidad y organización de la información contractual.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en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42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p5f595egia1l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 actividades orientadas a la actualización y consolidación de bases de datos de contratistas, incluyendo información relacionada con fechas de suscripción contractual, RPC, CDP y fichas técnicas, con el fin de facilitar el seguimiento administrativo y asegurar el correcto trámite de las cuentas de cobro y documentación contractual requerida por el programa.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3.Apoyar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42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El contratista apoyó en jornada de capacitación virtual liderada por el área encargada de cuentas de cobro, enfocada en el fortalecimiento de conocimientos sobre procedimientos de cargue, revisión y validación de cuentas correspondientes al período vigente. De igual manera, recibió lineamientos para el adecuado manejo y cargue de información en la plataforma SECOP II, contribuyendo al cumplimiento de los procesos administrativos establecidos.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4.Las demás relacionadas con el desarrollo del objeto contractual.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3"/>
              </w:numPr>
              <w:ind w:left="420" w:hanging="42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el cargue y seguimiento de cuentas de cobro de los prestadores de servicios en la plataforma SECOP II, conforme a los lineamientos establecidos por el área de Fomento, contribuyendo al cumplimiento oportuno de los procesos contractuales y administrativos de la Secretaría del Deporte y la Recreación.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https://drive.google.com/drive/u/2/folders/1-_UNrH606_RRUbOpRsdAQR9K95knC3zK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recomienda al contratista realizar el pago de la Seguridad Social dentro de los plazos establecidos,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3467100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4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3649345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25/may/2026</w:t>
            </w:r>
          </w:p>
        </w:tc>
      </w:tr>
    </w:tbl>
    <w:p w:rsidR="00000000" w:rsidDel="00000000" w:rsidP="00000000" w:rsidRDefault="00000000" w:rsidRPr="00000000" w14:paraId="000000B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C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D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8">
    <w:pPr>
      <w:keepNext w:val="0"/>
      <w:keepLines w:val="0"/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9">
          <w:pPr>
            <w:keepNext w:val="0"/>
            <w:keepLines w:val="0"/>
            <w:widowControl w:val="1"/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A">
          <w:pPr>
            <w:keepNext w:val="0"/>
            <w:keepLines w:val="0"/>
            <w:widowControl w:val="1"/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B">
          <w:pPr>
            <w:keepNext w:val="0"/>
            <w:keepLines w:val="0"/>
            <w:widowControl w:val="1"/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widowControl w:val="1"/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D">
          <w:pPr>
            <w:keepNext w:val="0"/>
            <w:keepLines w:val="0"/>
            <w:widowControl w:val="1"/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widowControl w:val="1"/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widowControl w:val="1"/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widowControl w:val="1"/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widowControl w:val="1"/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widowControl w:val="1"/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widowControl w:val="1"/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widowControl w:val="1"/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widowControl w:val="1"/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A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⮚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1.png"/><Relationship Id="rId12" Type="http://schemas.openxmlformats.org/officeDocument/2006/relationships/footer" Target="foot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hyperlink" Target="https://drive.google.com/drive/u/2/folders/1-_UNrH606_RRUbOpRsdAQR9K95knC3z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JKtTwIxAxpHV2MALqx+V+RKYsQ==">CgMxLjAyDmgucDVmNTk1ZWdpYTFsOAByITFtTjhWanJ1WDh2SDhmYlhhc08xMzFjN3d2WGpIMGY4cw==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eyJoZGlkIjoiNmU2YjJiZjc4MWI0Y2EyMWMzOTIyZTJlOTkxZjhjY2IiLCJ1c2VySWQiOiIyMjE2ODEyNDc0NDgyIn0=</vt:lpwstr>
  </property>
  <property fmtid="{D5CDD505-2E9C-101B-9397-08002B2CF9AE}" pid="3" name="KSOProductBuildVer">
    <vt:lpwstr>3082-12.1.0.26372</vt:lpwstr>
  </property>
  <property fmtid="{D5CDD505-2E9C-101B-9397-08002B2CF9AE}" pid="4" name="ICV">
    <vt:lpwstr>3B7CEC44B01D40F58682EC8F960499B0_12</vt:lpwstr>
  </property>
</Properties>
</file>